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E9" w:rsidRDefault="00876B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-370114</wp:posOffset>
                </wp:positionH>
                <wp:positionV relativeFrom="paragraph">
                  <wp:posOffset>54429</wp:posOffset>
                </wp:positionV>
                <wp:extent cx="6378847" cy="954468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847" cy="954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B67" w:rsidRDefault="00876B67" w:rsidP="00876B6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5BAC3C" wp14:editId="62EB3477">
                                  <wp:extent cx="1303805" cy="1241719"/>
                                  <wp:effectExtent l="0" t="0" r="0" b="0"/>
                                  <wp:docPr id="5" name="Picture 1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15D7AAA-17D7-4948-BE99-3BF65736545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15D7AAA-17D7-4948-BE99-3BF65736545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805" cy="1241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</w:t>
                            </w:r>
                            <w:r w:rsidR="001650D5">
                              <w:rPr>
                                <w:noProof/>
                                <w:lang w:eastAsia="en-GB"/>
                              </w:rPr>
                              <w:t xml:space="preserve">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5B31C" wp14:editId="0FB52E23">
                                  <wp:extent cx="2755631" cy="1170533"/>
                                  <wp:effectExtent l="0" t="0" r="6985" b="0"/>
                                  <wp:docPr id="6" name="Picture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79D56B3-B9CC-4957-B205-37D0D23FE04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79D56B3-B9CC-4957-B205-37D0D23FE04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5631" cy="1170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6B67" w:rsidRDefault="00876B67" w:rsidP="00876B67"/>
                          <w:p w:rsidR="00876B67" w:rsidRPr="001650D5" w:rsidRDefault="00876B67" w:rsidP="0087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Please come along to our</w:t>
                            </w:r>
                          </w:p>
                          <w:p w:rsidR="00876B67" w:rsidRPr="00876B67" w:rsidRDefault="00876B67" w:rsidP="00876B6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876B67">
                              <w:rPr>
                                <w:rFonts w:ascii="Arial" w:hAnsi="Arial" w:cs="Arial"/>
                                <w:sz w:val="72"/>
                              </w:rPr>
                              <w:t>SEND</w:t>
                            </w:r>
                          </w:p>
                          <w:p w:rsidR="00876B67" w:rsidRPr="00876B67" w:rsidRDefault="00876B67" w:rsidP="00876B6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DROP IN</w:t>
                            </w:r>
                            <w:r w:rsidRPr="00876B67">
                              <w:rPr>
                                <w:rFonts w:ascii="Arial" w:hAnsi="Arial" w:cs="Arial"/>
                                <w:sz w:val="72"/>
                              </w:rPr>
                              <w:t xml:space="preserve"> SESSIONS</w:t>
                            </w: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20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Which we are hosting at various venues across Redcar and Cleveland over the next 6 months:</w:t>
                            </w:r>
                          </w:p>
                          <w:p w:rsidR="001650D5" w:rsidRPr="001650D5" w:rsidRDefault="001650D5" w:rsidP="00165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20"/>
                              </w:rPr>
                            </w:pP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</w:rPr>
                              <w:t>Loftus Family Hub* on 18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</w:rPr>
                              <w:t xml:space="preserve"> July 2019, from 12pm – 2pm</w:t>
                            </w: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</w:pP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  <w:t>Grangetown Family Hub* on 12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  <w:t xml:space="preserve"> September, from 12pm – 2pm</w:t>
                            </w: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</w:pP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</w:rPr>
                              <w:t>Saltburn Family Hub* on 11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</w:rPr>
                              <w:t xml:space="preserve"> October 2019, from 11.30am – 1.30pm</w:t>
                            </w: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</w:pP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  <w:t>Tuned In! Redcar on 20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8"/>
                              </w:rPr>
                              <w:t xml:space="preserve"> November 2019, from 10am – 12pm</w:t>
                            </w:r>
                          </w:p>
                          <w:p w:rsidR="001650D5" w:rsidRPr="001650D5" w:rsidRDefault="001650D5" w:rsidP="001650D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This will be an opportunity to chat with members of the Local Authority SEND Team, The Children with Disabilities Social Work team and the NHS Designated Clinical Officer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(DCO) </w:t>
                            </w: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who will be on hand to provide general advice, support and guidance.</w:t>
                            </w:r>
                          </w:p>
                          <w:p w:rsidR="001650D5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We would also welcome your ideas and suggestions for improving consultation and services across the local area.</w:t>
                            </w:r>
                          </w:p>
                          <w:p w:rsidR="00876B67" w:rsidRPr="001650D5" w:rsidRDefault="001650D5" w:rsidP="001650D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650D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(*The Family Hubs are our new names for what were previously called our Children’s Centres; their locations haven’t changed)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29.15pt;margin-top:4.3pt;width:502.25pt;height:75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" fillcolor="white [3201]" strokecolor="#4f81bd [3204]" strokeweight="2pt">
                <v:textbox>
                  <w:txbxContent>
                    <w:p w:rsidR="00876B67" w:rsidRDefault="00876B67" w:rsidP="00876B6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5BAC3C" wp14:editId="62EB3477">
                            <wp:extent cx="1303805" cy="1241719"/>
                            <wp:effectExtent l="0" t="0" r="0" b="0"/>
                            <wp:docPr id="5" name="Picture 1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15D7AAA-17D7-4948-BE99-3BF65736545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6">
                                      <a:extLst>
                                        <a:ext uri="{FF2B5EF4-FFF2-40B4-BE49-F238E27FC236}">
                                          <a16:creationId xmlns:a16="http://schemas.microsoft.com/office/drawing/2014/main" id="{F15D7AAA-17D7-4948-BE99-3BF657365452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805" cy="1241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</w:t>
                      </w:r>
                      <w:r w:rsidR="001650D5">
                        <w:rPr>
                          <w:noProof/>
                          <w:lang w:eastAsia="en-GB"/>
                        </w:rPr>
                        <w:t xml:space="preserve">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5B31C" wp14:editId="0FB52E23">
                            <wp:extent cx="2755631" cy="1170533"/>
                            <wp:effectExtent l="0" t="0" r="6985" b="0"/>
                            <wp:docPr id="6" name="Picture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79D56B3-B9CC-4957-B205-37D0D23FE04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>
                                      <a:extLst>
                                        <a:ext uri="{FF2B5EF4-FFF2-40B4-BE49-F238E27FC236}">
                                          <a16:creationId xmlns:a16="http://schemas.microsoft.com/office/drawing/2014/main" id="{179D56B3-B9CC-4957-B205-37D0D23FE04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5631" cy="1170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6B67" w:rsidRDefault="00876B67" w:rsidP="00876B67"/>
                    <w:p w:rsidR="00876B67" w:rsidRPr="001650D5" w:rsidRDefault="00876B67" w:rsidP="00876B6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sz w:val="28"/>
                        </w:rPr>
                        <w:t>Please come along to our</w:t>
                      </w:r>
                    </w:p>
                    <w:p w:rsidR="00876B67" w:rsidRPr="00876B67" w:rsidRDefault="00876B67" w:rsidP="00876B67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876B67">
                        <w:rPr>
                          <w:rFonts w:ascii="Arial" w:hAnsi="Arial" w:cs="Arial"/>
                          <w:sz w:val="72"/>
                        </w:rPr>
                        <w:t>SEND</w:t>
                      </w:r>
                    </w:p>
                    <w:p w:rsidR="00876B67" w:rsidRPr="00876B67" w:rsidRDefault="00876B67" w:rsidP="00876B67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DROP IN</w:t>
                      </w:r>
                      <w:r w:rsidRPr="00876B67">
                        <w:rPr>
                          <w:rFonts w:ascii="Arial" w:hAnsi="Arial" w:cs="Arial"/>
                          <w:sz w:val="72"/>
                        </w:rPr>
                        <w:t xml:space="preserve"> SESSIONS</w:t>
                      </w: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6"/>
                          <w:szCs w:val="20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Which we are hosting at various venues across Redcar and Cleveland over the next 6 months:</w:t>
                      </w:r>
                    </w:p>
                    <w:p w:rsidR="001650D5" w:rsidRPr="001650D5" w:rsidRDefault="001650D5" w:rsidP="001650D5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20"/>
                        </w:rPr>
                      </w:pP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</w:rPr>
                        <w:t>Loftus Family Hub* on 18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vertAlign w:val="superscript"/>
                        </w:rPr>
                        <w:t>th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</w:rPr>
                        <w:t xml:space="preserve"> July 2019, from 12pm – 2pm</w:t>
                      </w: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</w:pP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  <w:t>Grangetown Family Hub* on 12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vertAlign w:val="superscript"/>
                        </w:rPr>
                        <w:t>th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  <w:t xml:space="preserve"> September, from 12pm – 2pm</w:t>
                      </w: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</w:pP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</w:rPr>
                        <w:t>Saltburn Family Hub* on 11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vertAlign w:val="superscript"/>
                        </w:rPr>
                        <w:t>th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</w:rPr>
                        <w:t xml:space="preserve"> October 2019, from 11.30am – 1.30pm</w:t>
                      </w: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</w:pP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  <w:t>Tuned In! Redcar on 20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  <w:vertAlign w:val="superscript"/>
                        </w:rPr>
                        <w:t>th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28"/>
                        </w:rPr>
                        <w:t xml:space="preserve"> November 2019, from 10am – 12pm</w:t>
                      </w:r>
                    </w:p>
                    <w:p w:rsidR="001650D5" w:rsidRPr="001650D5" w:rsidRDefault="001650D5" w:rsidP="001650D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This will be an opportunity to chat with members of the Local Authority SEND Team, The Children with Disabilities Social Work team and the NHS Designated Clinical Officer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(DCO) </w:t>
                      </w:r>
                      <w:r w:rsidRPr="001650D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who will be on hand to provide general advice, support and guidance.</w:t>
                      </w:r>
                    </w:p>
                    <w:p w:rsidR="001650D5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We would also welcome your ideas and suggestions for improving consultation and services across the local area.</w:t>
                      </w:r>
                    </w:p>
                    <w:p w:rsidR="00876B67" w:rsidRPr="001650D5" w:rsidRDefault="001650D5" w:rsidP="001650D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1650D5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(*The Family Hubs are our new names for what were previously called our Children’s Centres; their locations haven’t changed)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0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67"/>
    <w:rsid w:val="00160FE9"/>
    <w:rsid w:val="001650D5"/>
    <w:rsid w:val="00337866"/>
    <w:rsid w:val="00876B67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06F19-232D-48B7-BE49-9679C2CE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Nicola</dc:creator>
  <cp:lastModifiedBy>Levie, Jo</cp:lastModifiedBy>
  <cp:revision>2</cp:revision>
  <dcterms:created xsi:type="dcterms:W3CDTF">2019-07-01T16:09:00Z</dcterms:created>
  <dcterms:modified xsi:type="dcterms:W3CDTF">2019-07-01T16:09:00Z</dcterms:modified>
</cp:coreProperties>
</file>